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E9C" w:rsidRPr="00B83E9C" w:rsidRDefault="00B83E9C" w:rsidP="00B83E9C">
      <w:pPr>
        <w:spacing w:line="750" w:lineRule="atLeast"/>
        <w:outlineLvl w:val="0"/>
        <w:rPr>
          <w:rFonts w:ascii="Georgia" w:eastAsia="Times New Roman" w:hAnsi="Georgia" w:cs="Arial"/>
          <w:b/>
          <w:bCs/>
          <w:color w:val="000000"/>
          <w:spacing w:val="-15"/>
          <w:kern w:val="36"/>
          <w:sz w:val="69"/>
          <w:szCs w:val="69"/>
          <w:lang w:eastAsia="ru-RU"/>
        </w:rPr>
      </w:pPr>
      <w:r w:rsidRPr="00B83E9C">
        <w:rPr>
          <w:rFonts w:ascii="Georgia" w:eastAsia="Times New Roman" w:hAnsi="Georgia" w:cs="Arial"/>
          <w:b/>
          <w:bCs/>
          <w:color w:val="000000"/>
          <w:spacing w:val="-15"/>
          <w:kern w:val="36"/>
          <w:sz w:val="69"/>
          <w:szCs w:val="69"/>
          <w:lang w:eastAsia="ru-RU"/>
        </w:rPr>
        <w:t>Отказ в посещении детского сада без пробы Манту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4359"/>
      </w:tblGrid>
      <w:tr w:rsidR="00B83E9C" w:rsidRPr="00B83E9C" w:rsidTr="00B83E9C">
        <w:tc>
          <w:tcPr>
            <w:tcW w:w="0" w:type="auto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B83E9C" w:rsidRPr="00B83E9C" w:rsidRDefault="00B83E9C" w:rsidP="00B83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E9C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78BD08" wp14:editId="14EDA66A">
                  <wp:extent cx="1287780" cy="1615440"/>
                  <wp:effectExtent l="0" t="0" r="7620" b="3810"/>
                  <wp:docPr id="1" name="Рисунок 1" descr="http://e.profkiosk.ru/service_tbn2/tkshc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.profkiosk.ru/service_tbn2/tkshc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90" w:type="dxa"/>
            </w:tcMar>
            <w:vAlign w:val="bottom"/>
            <w:hideMark/>
          </w:tcPr>
          <w:p w:rsidR="00B83E9C" w:rsidRPr="00B83E9C" w:rsidRDefault="00B83E9C" w:rsidP="00B83E9C">
            <w:pPr>
              <w:spacing w:after="30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83E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Попов Р.М.,</w:t>
            </w:r>
            <w:r w:rsidRPr="00B83E9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 </w:t>
            </w:r>
            <w:r w:rsidRPr="00B83E9C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  <w:t>юрист, эксперт «МЦФЭР Образование»</w:t>
            </w:r>
          </w:p>
        </w:tc>
      </w:tr>
    </w:tbl>
    <w:p w:rsidR="00B83E9C" w:rsidRPr="00B83E9C" w:rsidRDefault="00B83E9C" w:rsidP="00B83E9C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3E9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Многие родители считают, что отказ принять в ДОО ребенка, не прошедшего </w:t>
      </w:r>
      <w:proofErr w:type="spellStart"/>
      <w:r w:rsidRPr="00B83E9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туберкулинодиагностику</w:t>
      </w:r>
      <w:proofErr w:type="spellEnd"/>
      <w:r w:rsidRPr="00B83E9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, противоречит праву на образование. Это вызывает огромное количество жалоб на действия учреждений здравоохранения и руководителей детских садов. В 2015 г. Верховный Суд РФ вынес решение, которое существенно повлияло на ход судебных разбирательств по данному вопросу.</w:t>
      </w:r>
    </w:p>
    <w:p w:rsidR="00B83E9C" w:rsidRPr="00B83E9C" w:rsidRDefault="00B83E9C" w:rsidP="00B83E9C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pict>
          <v:rect id="_x0000_i1025" style="width:0;height:0" o:hralign="center" o:hrstd="t" o:hr="t" fillcolor="#a0a0a0" stroked="f"/>
        </w:pic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Требования к комплексу организационных, лечебно-профилактических, санитарно-противоэпидемических и </w:t>
      </w:r>
      <w:proofErr w:type="spellStart"/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дезифекционных</w:t>
      </w:r>
      <w:proofErr w:type="spellEnd"/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мероприятий по предупреждению распространения туберкулеза установлены СП 3.1.2.3114-13 «Профилактика туберкулеза», утв. </w:t>
      </w:r>
      <w:hyperlink r:id="rId5" w:anchor="/document/99/499056594/" w:history="1">
        <w:r w:rsidRPr="00B83E9C">
          <w:rPr>
            <w:rFonts w:ascii="Arial" w:eastAsia="Times New Roman" w:hAnsi="Arial" w:cs="Arial"/>
            <w:color w:val="147900"/>
            <w:sz w:val="26"/>
            <w:szCs w:val="26"/>
            <w:u w:val="single"/>
            <w:lang w:eastAsia="ru-RU"/>
          </w:rPr>
          <w:t>постановлением Главного государственного санитарного врача РФ от 22.10.2013 № 60</w:t>
        </w:r>
      </w:hyperlink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(далее – СП 3.1.2.3114-13). </w:t>
      </w:r>
      <w:r w:rsidRPr="00B83E9C">
        <w:rPr>
          <w:rFonts w:ascii="Arial" w:eastAsia="Times New Roman" w:hAnsi="Arial" w:cs="Arial"/>
          <w:b/>
          <w:bCs/>
          <w:color w:val="EC7A04"/>
          <w:sz w:val="26"/>
          <w:szCs w:val="26"/>
          <w:lang w:eastAsia="ru-RU"/>
        </w:rPr>
        <w:t>Соблюдение санитарных правил обязательно для физических и юридических лиц</w:t>
      </w:r>
      <w:r w:rsidRPr="00B83E9C">
        <w:rPr>
          <w:rFonts w:ascii="Arial" w:eastAsia="Times New Roman" w:hAnsi="Arial" w:cs="Arial"/>
          <w:color w:val="EC7A04"/>
          <w:sz w:val="26"/>
          <w:szCs w:val="26"/>
          <w:lang w:eastAsia="ru-RU"/>
        </w:rPr>
        <w:t>.</w:t>
      </w:r>
    </w:p>
    <w:p w:rsidR="00B83E9C" w:rsidRPr="00B83E9C" w:rsidRDefault="00B83E9C" w:rsidP="00B83E9C">
      <w:pPr>
        <w:pBdr>
          <w:top w:val="dotted" w:sz="12" w:space="8" w:color="CCCCCC"/>
        </w:pBdr>
        <w:spacing w:before="180" w:after="420" w:line="360" w:lineRule="atLeast"/>
        <w:rPr>
          <w:rFonts w:ascii="Georgia" w:eastAsia="Times New Roman" w:hAnsi="Georgia" w:cs="Arial"/>
          <w:color w:val="000000"/>
          <w:sz w:val="23"/>
          <w:szCs w:val="23"/>
          <w:lang w:eastAsia="ru-RU"/>
        </w:rPr>
      </w:pPr>
      <w:proofErr w:type="spellStart"/>
      <w:r w:rsidRPr="00B83E9C">
        <w:rPr>
          <w:rFonts w:ascii="Georgia" w:eastAsia="Times New Roman" w:hAnsi="Georgia" w:cs="Arial"/>
          <w:b/>
          <w:bCs/>
          <w:color w:val="EC7A04"/>
          <w:sz w:val="23"/>
          <w:szCs w:val="23"/>
          <w:lang w:eastAsia="ru-RU"/>
        </w:rPr>
        <w:t>Туберкулинодиагностика</w:t>
      </w:r>
      <w:proofErr w:type="spellEnd"/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> – не профилактическая прививка, а диагностический тест для определения специфической сенсибилизации организма к микобактериям туберкулеза.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целях раннего выявления туберкулеза вакцинированным против данного заболевания детям проводится </w:t>
      </w:r>
      <w:proofErr w:type="spellStart"/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туберкулинодиагностика</w:t>
      </w:r>
      <w:proofErr w:type="spellEnd"/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Внутрикожную аллергическую пробу с туберкулином (пробу Манту) ставят один раз в год независимо от результата предыдущих проб – начиная с 12-месячного возраста и до 18 лет.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Дети с подозрением на </w:t>
      </w:r>
      <w:proofErr w:type="spellStart"/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тубинфицирование</w:t>
      </w:r>
      <w:proofErr w:type="spellEnd"/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или заболевание туберкулезом, выявленные по результатам реакции Манту, направляются на дополнительное обследование у фтизиатра. Без положительного заключения от фтизиатра такие дети не допускаются в дошкольные образовательные организации (далее – ДОО). Аналогичный запрет установлен в отношении </w:t>
      </w:r>
      <w:proofErr w:type="gramStart"/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детей,  не</w:t>
      </w:r>
      <w:proofErr w:type="gramEnd"/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прошедших </w:t>
      </w:r>
      <w:proofErr w:type="spellStart"/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туберкулинодиагностику</w:t>
      </w:r>
      <w:proofErr w:type="spellEnd"/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не имеющих справки от фтизиатра (</w:t>
      </w:r>
      <w:hyperlink r:id="rId6" w:anchor="/document/99/499056594/ZAP1SI43ET/" w:history="1">
        <w:r w:rsidRPr="00B83E9C">
          <w:rPr>
            <w:rFonts w:ascii="Arial" w:eastAsia="Times New Roman" w:hAnsi="Arial" w:cs="Arial"/>
            <w:color w:val="147900"/>
            <w:sz w:val="26"/>
            <w:szCs w:val="26"/>
            <w:u w:val="single"/>
            <w:lang w:eastAsia="ru-RU"/>
          </w:rPr>
          <w:t>п. 5.7</w:t>
        </w:r>
      </w:hyperlink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СП 3.1.2.3114-13).</w:t>
      </w:r>
    </w:p>
    <w:p w:rsidR="00B83E9C" w:rsidRPr="00B83E9C" w:rsidRDefault="00B83E9C" w:rsidP="00B83E9C">
      <w:pPr>
        <w:spacing w:after="0" w:line="360" w:lineRule="atLeast"/>
        <w:outlineLvl w:val="2"/>
        <w:rPr>
          <w:rFonts w:ascii="Georgia" w:eastAsia="Times New Roman" w:hAnsi="Georgia" w:cs="Arial"/>
          <w:b/>
          <w:bCs/>
          <w:caps/>
          <w:color w:val="000000"/>
          <w:spacing w:val="12"/>
          <w:sz w:val="23"/>
          <w:szCs w:val="23"/>
          <w:lang w:eastAsia="ru-RU"/>
        </w:rPr>
      </w:pPr>
      <w:r w:rsidRPr="00B83E9C">
        <w:rPr>
          <w:rFonts w:ascii="Georgia" w:eastAsia="Times New Roman" w:hAnsi="Georgia" w:cs="Arial"/>
          <w:b/>
          <w:bCs/>
          <w:caps/>
          <w:color w:val="000000"/>
          <w:spacing w:val="12"/>
          <w:sz w:val="23"/>
          <w:szCs w:val="23"/>
          <w:lang w:eastAsia="ru-RU"/>
        </w:rPr>
        <w:t>ИНТЕРЕСНО</w:t>
      </w:r>
    </w:p>
    <w:p w:rsidR="00B83E9C" w:rsidRPr="00B83E9C" w:rsidRDefault="00B83E9C" w:rsidP="00B83E9C">
      <w:pPr>
        <w:pBdr>
          <w:top w:val="dotted" w:sz="12" w:space="8" w:color="CCCCCC"/>
        </w:pBdr>
        <w:spacing w:before="180" w:after="420" w:line="360" w:lineRule="atLeast"/>
        <w:rPr>
          <w:rFonts w:ascii="Georgia" w:eastAsia="Times New Roman" w:hAnsi="Georgia" w:cs="Arial"/>
          <w:color w:val="000000"/>
          <w:sz w:val="23"/>
          <w:szCs w:val="23"/>
          <w:lang w:eastAsia="ru-RU"/>
        </w:rPr>
      </w:pPr>
      <w:r w:rsidRPr="00B83E9C">
        <w:rPr>
          <w:rFonts w:ascii="Georgia" w:eastAsia="Times New Roman" w:hAnsi="Georgia" w:cs="Arial"/>
          <w:b/>
          <w:bCs/>
          <w:color w:val="EC7A04"/>
          <w:sz w:val="23"/>
          <w:szCs w:val="23"/>
          <w:lang w:eastAsia="ru-RU"/>
        </w:rPr>
        <w:t>В чем суть решения Верховного Суда РФ?</w:t>
      </w:r>
    </w:p>
    <w:p w:rsidR="00B83E9C" w:rsidRPr="00B83E9C" w:rsidRDefault="00B83E9C" w:rsidP="00B83E9C">
      <w:pPr>
        <w:pBdr>
          <w:top w:val="dotted" w:sz="12" w:space="8" w:color="CCCCCC"/>
        </w:pBdr>
        <w:spacing w:before="180" w:after="420" w:line="360" w:lineRule="atLeast"/>
        <w:rPr>
          <w:rFonts w:ascii="Georgia" w:eastAsia="Times New Roman" w:hAnsi="Georgia" w:cs="Arial"/>
          <w:color w:val="000000"/>
          <w:sz w:val="23"/>
          <w:szCs w:val="23"/>
          <w:lang w:eastAsia="ru-RU"/>
        </w:rPr>
      </w:pPr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>Т. обратилась в Верховный Суд РФ, просила признать недействующими </w:t>
      </w:r>
      <w:hyperlink r:id="rId7" w:anchor="/document/99/499056594/ZAP1Q0Q38U/" w:history="1">
        <w:r w:rsidRPr="00B83E9C">
          <w:rPr>
            <w:rFonts w:ascii="Georgia" w:eastAsia="Times New Roman" w:hAnsi="Georgia" w:cs="Arial"/>
            <w:color w:val="147900"/>
            <w:sz w:val="23"/>
            <w:szCs w:val="23"/>
            <w:u w:val="single"/>
            <w:lang w:eastAsia="ru-RU"/>
          </w:rPr>
          <w:t>п. 1.3</w:t>
        </w:r>
      </w:hyperlink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> и </w:t>
      </w:r>
      <w:proofErr w:type="spellStart"/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fldChar w:fldCharType="begin"/>
      </w:r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instrText xml:space="preserve"> HYPERLINK "http://vip.1obraz.ru/" \l "/document/99/499056594/ZAP1SI43ET/" </w:instrText>
      </w:r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fldChar w:fldCharType="separate"/>
      </w:r>
      <w:r w:rsidRPr="00B83E9C">
        <w:rPr>
          <w:rFonts w:ascii="Georgia" w:eastAsia="Times New Roman" w:hAnsi="Georgia" w:cs="Arial"/>
          <w:color w:val="147900"/>
          <w:sz w:val="23"/>
          <w:szCs w:val="23"/>
          <w:u w:val="single"/>
          <w:lang w:eastAsia="ru-RU"/>
        </w:rPr>
        <w:t>абз</w:t>
      </w:r>
      <w:proofErr w:type="spellEnd"/>
      <w:r w:rsidRPr="00B83E9C">
        <w:rPr>
          <w:rFonts w:ascii="Georgia" w:eastAsia="Times New Roman" w:hAnsi="Georgia" w:cs="Arial"/>
          <w:color w:val="147900"/>
          <w:sz w:val="23"/>
          <w:szCs w:val="23"/>
          <w:u w:val="single"/>
          <w:lang w:eastAsia="ru-RU"/>
        </w:rPr>
        <w:t>. 2</w:t>
      </w:r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fldChar w:fldCharType="end"/>
      </w:r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 xml:space="preserve"> п. 5.7 СП 3.1.2.3114-13. Суд отказал в удовлетворении заявленных требований, т. </w:t>
      </w:r>
      <w:proofErr w:type="gramStart"/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>к.:</w:t>
      </w:r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br/>
        <w:t>–</w:t>
      </w:r>
      <w:proofErr w:type="gramEnd"/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 xml:space="preserve"> установленное в </w:t>
      </w:r>
      <w:proofErr w:type="spellStart"/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fldChar w:fldCharType="begin"/>
      </w:r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instrText xml:space="preserve"> HYPERLINK "http://vip.1obraz.ru/" \l "/document/99/499056594/ZAP1SI43ET/" </w:instrText>
      </w:r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fldChar w:fldCharType="separate"/>
      </w:r>
      <w:r w:rsidRPr="00B83E9C">
        <w:rPr>
          <w:rFonts w:ascii="Georgia" w:eastAsia="Times New Roman" w:hAnsi="Georgia" w:cs="Arial"/>
          <w:color w:val="147900"/>
          <w:sz w:val="23"/>
          <w:szCs w:val="23"/>
          <w:u w:val="single"/>
          <w:lang w:eastAsia="ru-RU"/>
        </w:rPr>
        <w:t>абз</w:t>
      </w:r>
      <w:proofErr w:type="spellEnd"/>
      <w:r w:rsidRPr="00B83E9C">
        <w:rPr>
          <w:rFonts w:ascii="Georgia" w:eastAsia="Times New Roman" w:hAnsi="Georgia" w:cs="Arial"/>
          <w:color w:val="147900"/>
          <w:sz w:val="23"/>
          <w:szCs w:val="23"/>
          <w:u w:val="single"/>
          <w:lang w:eastAsia="ru-RU"/>
        </w:rPr>
        <w:t>. 2</w:t>
      </w:r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fldChar w:fldCharType="end"/>
      </w:r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 xml:space="preserve"> п. 5.7 СП 3.1.2.3114-13 «требование о допуске детей, </w:t>
      </w:r>
      <w:proofErr w:type="spellStart"/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>туберкулинодиагностика</w:t>
      </w:r>
      <w:proofErr w:type="spellEnd"/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 xml:space="preserve"> которым не проводилась, в детскую организацию при наличии заключения врача-фтизиатра об отсутствии заболевания, направлено на предупреждение возникновения, распространения туберкулеза, а также соблюдение прав других граждан на охрану здоровья и благоприятную среду обитания»;</w:t>
      </w:r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br/>
        <w:t>– п. 5.7 </w:t>
      </w:r>
      <w:hyperlink r:id="rId8" w:anchor="/document/99/499056594/" w:history="1">
        <w:r w:rsidRPr="00B83E9C">
          <w:rPr>
            <w:rFonts w:ascii="Georgia" w:eastAsia="Times New Roman" w:hAnsi="Georgia" w:cs="Arial"/>
            <w:color w:val="147900"/>
            <w:sz w:val="23"/>
            <w:szCs w:val="23"/>
            <w:u w:val="single"/>
            <w:lang w:eastAsia="ru-RU"/>
          </w:rPr>
          <w:t>СП 3.1.2.3114-13</w:t>
        </w:r>
      </w:hyperlink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> «не противоречит нормам закона, т. к. не регулирует отношения, связанные с оказанием противотуберкулезной помощи несовершеннолетнему в возрасте до 15 лет, а также не предусматривает медицинского вмешательства без информированного добровольного согласия гражданина или его законного представителя на такое вмешательство»;</w:t>
      </w:r>
      <w:r w:rsidRPr="00B83E9C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br/>
        <w:t>– оспариваемое положение не устанавливает ограничений прав на образование в РФ.</w:t>
      </w:r>
    </w:p>
    <w:p w:rsidR="00B83E9C" w:rsidRPr="00B83E9C" w:rsidRDefault="00B83E9C" w:rsidP="00B83E9C">
      <w:pPr>
        <w:spacing w:before="360" w:after="135" w:line="420" w:lineRule="atLeast"/>
        <w:outlineLvl w:val="1"/>
        <w:rPr>
          <w:rFonts w:ascii="Georgia" w:eastAsia="Times New Roman" w:hAnsi="Georgia" w:cs="Arial"/>
          <w:b/>
          <w:bCs/>
          <w:color w:val="000000"/>
          <w:sz w:val="39"/>
          <w:szCs w:val="39"/>
          <w:lang w:eastAsia="ru-RU"/>
        </w:rPr>
      </w:pPr>
      <w:r w:rsidRPr="00B83E9C">
        <w:rPr>
          <w:rFonts w:ascii="Georgia" w:eastAsia="Times New Roman" w:hAnsi="Georgia" w:cs="Arial"/>
          <w:b/>
          <w:bCs/>
          <w:color w:val="000000"/>
          <w:sz w:val="39"/>
          <w:szCs w:val="39"/>
          <w:lang w:eastAsia="ru-RU"/>
        </w:rPr>
        <w:t>Санитарные требования или право на образование?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Если, руководствуясь нормой </w:t>
      </w:r>
      <w:hyperlink r:id="rId9" w:anchor="/document/99/499056594/ZAP1SI43ET/" w:history="1">
        <w:r w:rsidRPr="00B83E9C">
          <w:rPr>
            <w:rFonts w:ascii="Arial" w:eastAsia="Times New Roman" w:hAnsi="Arial" w:cs="Arial"/>
            <w:color w:val="147900"/>
            <w:sz w:val="26"/>
            <w:szCs w:val="26"/>
            <w:u w:val="single"/>
            <w:lang w:eastAsia="ru-RU"/>
          </w:rPr>
          <w:t>п. 5.7</w:t>
        </w:r>
      </w:hyperlink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СП 3.1.2.3114-13, органы здравоохранения или руководители образовательных организаций не допускают дошкольников в детские сады, родители подают жалобы в вышестоящие организации или иски в суд.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Внести ясность в данную ситуацию и обосновать правомерность отказа в приеме в дошкольную образовательную организацию при отсутствии пробы Манту смог Верховный Суд РФ. В его </w:t>
      </w:r>
      <w:hyperlink r:id="rId10" w:anchor="/document/96/420264163/" w:history="1">
        <w:r w:rsidRPr="00B83E9C">
          <w:rPr>
            <w:rFonts w:ascii="Arial" w:eastAsia="Times New Roman" w:hAnsi="Arial" w:cs="Arial"/>
            <w:color w:val="147900"/>
            <w:sz w:val="26"/>
            <w:szCs w:val="26"/>
            <w:u w:val="single"/>
            <w:lang w:eastAsia="ru-RU"/>
          </w:rPr>
          <w:t>решении от 17.02.2015 № АКПИ14-1454</w:t>
        </w:r>
      </w:hyperlink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содержится важный вывод о том, что санитарно-эпидемиологические правила по профилактике туберкулеза не ограничивают право ребенка на образование.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Таким образом, </w:t>
      </w:r>
      <w:hyperlink r:id="rId11" w:anchor="/document/99/499056594/ZAP1SI43ET/" w:history="1">
        <w:r w:rsidRPr="00B83E9C">
          <w:rPr>
            <w:rFonts w:ascii="Arial" w:eastAsia="Times New Roman" w:hAnsi="Arial" w:cs="Arial"/>
            <w:color w:val="147900"/>
            <w:sz w:val="26"/>
            <w:szCs w:val="26"/>
            <w:u w:val="single"/>
            <w:lang w:eastAsia="ru-RU"/>
          </w:rPr>
          <w:t>п. 5.7</w:t>
        </w:r>
      </w:hyperlink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СП 3.1.2.3114-13, устанавливающий запрет на допуск в образовательные организации детей без постановки реакции Манту и осмотра фтизиатра, – норма прямого и непосредственного действия.</w:t>
      </w:r>
    </w:p>
    <w:p w:rsidR="00B83E9C" w:rsidRPr="00B83E9C" w:rsidRDefault="00B83E9C" w:rsidP="00B83E9C">
      <w:pPr>
        <w:spacing w:before="360" w:after="135" w:line="420" w:lineRule="atLeast"/>
        <w:outlineLvl w:val="1"/>
        <w:rPr>
          <w:rFonts w:ascii="Georgia" w:eastAsia="Times New Roman" w:hAnsi="Georgia" w:cs="Arial"/>
          <w:b/>
          <w:bCs/>
          <w:color w:val="000000"/>
          <w:sz w:val="39"/>
          <w:szCs w:val="39"/>
          <w:lang w:eastAsia="ru-RU"/>
        </w:rPr>
      </w:pPr>
      <w:r w:rsidRPr="00B83E9C">
        <w:rPr>
          <w:rFonts w:ascii="Georgia" w:eastAsia="Times New Roman" w:hAnsi="Georgia" w:cs="Arial"/>
          <w:b/>
          <w:bCs/>
          <w:color w:val="000000"/>
          <w:sz w:val="39"/>
          <w:szCs w:val="39"/>
          <w:lang w:eastAsia="ru-RU"/>
        </w:rPr>
        <w:t>Когда родители неправы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момента принятия Верховным Судом РФ данного решения суды стали чаще отказывать родителям, пытающимся отстоять право своих детей на посещение ДОО без необходимых обследований.</w:t>
      </w:r>
    </w:p>
    <w:p w:rsidR="00B83E9C" w:rsidRPr="00B83E9C" w:rsidRDefault="00B83E9C" w:rsidP="00B83E9C">
      <w:pPr>
        <w:spacing w:after="75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</w:pPr>
      <w:r w:rsidRPr="00B83E9C"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  <w:t>ПРИМЕР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Врач-педиатр </w:t>
      </w:r>
      <w:proofErr w:type="spellStart"/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Починковской</w:t>
      </w:r>
      <w:proofErr w:type="spellEnd"/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центральной районной больницы Смоленской области отказал Б.О. в выдаче заключения о допуске ее дочери в детский сад и внесении в медицинскую документацию ребенка соответствующей записи.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Причина – отказ Б.О. от противотуберкулезных мероприятий для ее ребенка: прививки вакциной БЦЖ, пробы Манту, </w:t>
      </w:r>
      <w:proofErr w:type="spellStart"/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диаскинтеста</w:t>
      </w:r>
      <w:proofErr w:type="spellEnd"/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флюорографии, консультации фтизиатра. Для оформления медицинской карты врач предложил Б.О. получить заключение фтизиатра об отсутствии заболевания у ее дочери.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ответ Б.О. подала иск в суд. Считает, что отказ врача-педиатра нарушает ее право на добровольное согласие на медицинское вмешательство в отношении ее несовершеннолетнего ребенка, а также право ее дочери на получение образования.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Суд не счел поступок врача-педиатра неправомерным и нарушающим права и свободы истицы и ее дочери. Действия медицинского работника направлены на обеспечение безопасных условий жизни и здоровья как ребенка Б.О., так и воспитанников детского сада. Жалобу родителя суд оставил без удовлетворения (см. апелляционное </w:t>
      </w:r>
      <w:hyperlink r:id="rId12" w:anchor="/document/98/6273928/" w:history="1">
        <w:r w:rsidRPr="00B83E9C">
          <w:rPr>
            <w:rFonts w:ascii="Arial" w:eastAsia="Times New Roman" w:hAnsi="Arial" w:cs="Arial"/>
            <w:color w:val="147900"/>
            <w:sz w:val="23"/>
            <w:szCs w:val="23"/>
            <w:u w:val="single"/>
            <w:lang w:eastAsia="ru-RU"/>
          </w:rPr>
          <w:t>определение Смоленского областного суда от 07.07.2015 по делу № 33-2405/2015</w:t>
        </w:r>
      </w:hyperlink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другом подобном примере суд первой инстанции признал незаконным отказ в допуске ребенка истицы в ДОО. Однако апелляционный суд по аналогичным доводам отменил решение нижестоящего суда и отказал в удовлетворении исковых требований (см. апелляционное </w:t>
      </w:r>
      <w:hyperlink r:id="rId13" w:anchor="/document/98/6646023/" w:history="1">
        <w:r w:rsidRPr="00B83E9C">
          <w:rPr>
            <w:rFonts w:ascii="Arial" w:eastAsia="Times New Roman" w:hAnsi="Arial" w:cs="Arial"/>
            <w:color w:val="147900"/>
            <w:sz w:val="26"/>
            <w:szCs w:val="26"/>
            <w:u w:val="single"/>
            <w:lang w:eastAsia="ru-RU"/>
          </w:rPr>
          <w:t>определение Омского областного суда от 30.09.2015 по делу № 33-7264/2015</w:t>
        </w:r>
      </w:hyperlink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).</w:t>
      </w:r>
    </w:p>
    <w:p w:rsidR="00B83E9C" w:rsidRPr="00B83E9C" w:rsidRDefault="00B83E9C" w:rsidP="00B83E9C">
      <w:pPr>
        <w:spacing w:before="360" w:after="135" w:line="420" w:lineRule="atLeast"/>
        <w:outlineLvl w:val="1"/>
        <w:rPr>
          <w:rFonts w:ascii="Georgia" w:eastAsia="Times New Roman" w:hAnsi="Georgia" w:cs="Arial"/>
          <w:b/>
          <w:bCs/>
          <w:color w:val="000000"/>
          <w:sz w:val="39"/>
          <w:szCs w:val="39"/>
          <w:lang w:eastAsia="ru-RU"/>
        </w:rPr>
      </w:pPr>
      <w:r w:rsidRPr="00B83E9C">
        <w:rPr>
          <w:rFonts w:ascii="Georgia" w:eastAsia="Times New Roman" w:hAnsi="Georgia" w:cs="Arial"/>
          <w:b/>
          <w:bCs/>
          <w:color w:val="000000"/>
          <w:sz w:val="39"/>
          <w:szCs w:val="39"/>
          <w:lang w:eastAsia="ru-RU"/>
        </w:rPr>
        <w:t>Суд на стороне ДОО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Суды стали поддерживать не только организации здравоохранения, но и детские сады, отказывая в исковых требованиях родителям воспитанников.</w:t>
      </w:r>
    </w:p>
    <w:p w:rsidR="00B83E9C" w:rsidRPr="00B83E9C" w:rsidRDefault="00B83E9C" w:rsidP="00B83E9C">
      <w:pPr>
        <w:spacing w:after="75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</w:pPr>
      <w:r w:rsidRPr="00B83E9C"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  <w:t>ПРИМЕР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несовершеннолетних детей дошкольного возраста обратились в суд с иском к управлению образованием администрации г. Ачинска Красноярского края и детскому саду № __ о восстановлении права их детей на посещение ДОО.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Дошкольники были отстранены от посещения детского сада в связи с отказами их родителей от постановки пробы Манту, </w:t>
      </w:r>
      <w:proofErr w:type="gramStart"/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 также</w:t>
      </w:r>
      <w:proofErr w:type="gramEnd"/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неверным толкованием </w:t>
      </w:r>
      <w:hyperlink r:id="rId14" w:anchor="/document/99/499056594/" w:history="1">
        <w:r w:rsidRPr="00B83E9C">
          <w:rPr>
            <w:rFonts w:ascii="Arial" w:eastAsia="Times New Roman" w:hAnsi="Arial" w:cs="Arial"/>
            <w:color w:val="147900"/>
            <w:sz w:val="23"/>
            <w:szCs w:val="23"/>
            <w:u w:val="single"/>
            <w:lang w:eastAsia="ru-RU"/>
          </w:rPr>
          <w:t>СП 3.1.2.3114-13</w:t>
        </w:r>
      </w:hyperlink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 факте отстранения родителям сообщено письменно, также им рекомендовано обратиться к фтизиатру.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мнению истцов, консультация у узкого специалиста может быть рекомендована только в двух случаях, описанных в разделах 3 и 5 </w:t>
      </w:r>
      <w:hyperlink r:id="rId15" w:anchor="/document/99/499056594/ZAP27CC3AT/" w:history="1">
        <w:r w:rsidRPr="00B83E9C">
          <w:rPr>
            <w:rFonts w:ascii="Arial" w:eastAsia="Times New Roman" w:hAnsi="Arial" w:cs="Arial"/>
            <w:color w:val="147900"/>
            <w:sz w:val="23"/>
            <w:szCs w:val="23"/>
            <w:u w:val="single"/>
            <w:lang w:eastAsia="ru-RU"/>
          </w:rPr>
          <w:t>СП 3.1.2.3114-13</w:t>
        </w:r>
      </w:hyperlink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 только тем детям, чьи родители дали согласие на противотуберкулезную помощь. 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 также известно, что в соответствии с федеральными законами </w:t>
      </w:r>
      <w:hyperlink r:id="rId16" w:anchor="/document/99/902389617/" w:history="1">
        <w:r w:rsidRPr="00B83E9C">
          <w:rPr>
            <w:rFonts w:ascii="Arial" w:eastAsia="Times New Roman" w:hAnsi="Arial" w:cs="Arial"/>
            <w:color w:val="147900"/>
            <w:sz w:val="23"/>
            <w:szCs w:val="23"/>
            <w:u w:val="single"/>
            <w:lang w:eastAsia="ru-RU"/>
          </w:rPr>
          <w:t>от 29.12.2012 № 273-ФЗ</w:t>
        </w:r>
      </w:hyperlink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«Об образовании в Российской Федерации», </w:t>
      </w:r>
      <w:hyperlink r:id="rId17" w:anchor="/document/99/902312609/" w:history="1">
        <w:r w:rsidRPr="00B83E9C">
          <w:rPr>
            <w:rFonts w:ascii="Arial" w:eastAsia="Times New Roman" w:hAnsi="Arial" w:cs="Arial"/>
            <w:color w:val="147900"/>
            <w:sz w:val="23"/>
            <w:szCs w:val="23"/>
            <w:u w:val="single"/>
            <w:lang w:eastAsia="ru-RU"/>
          </w:rPr>
          <w:t>от 21.11.2011 № 323-ФЗ</w:t>
        </w:r>
      </w:hyperlink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«Об основах охраны здоровья граждан в Российской Федерации», </w:t>
      </w:r>
      <w:hyperlink r:id="rId18" w:anchor="/document/99/901789645/" w:history="1">
        <w:r w:rsidRPr="00B83E9C">
          <w:rPr>
            <w:rFonts w:ascii="Arial" w:eastAsia="Times New Roman" w:hAnsi="Arial" w:cs="Arial"/>
            <w:color w:val="147900"/>
            <w:sz w:val="23"/>
            <w:szCs w:val="23"/>
            <w:u w:val="single"/>
            <w:lang w:eastAsia="ru-RU"/>
          </w:rPr>
          <w:t>от 18.06.2001 № 77-ФЗ</w:t>
        </w:r>
      </w:hyperlink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«О предупреждении распространения туберкулеза в Российской Федерации» они имеют право на отказ от постановки туберкулиновой пробы и медицинского вмешательства, а также право на образование для своих детей.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Суды первой и апелляционной инстанций отказали в удовлетворении заявленных требований. В </w:t>
      </w:r>
      <w:hyperlink r:id="rId19" w:anchor="/document/99/901729631/ZA00MB42N3/" w:history="1">
        <w:r w:rsidRPr="00B83E9C">
          <w:rPr>
            <w:rFonts w:ascii="Arial" w:eastAsia="Times New Roman" w:hAnsi="Arial" w:cs="Arial"/>
            <w:color w:val="147900"/>
            <w:sz w:val="23"/>
            <w:szCs w:val="23"/>
            <w:u w:val="single"/>
            <w:lang w:eastAsia="ru-RU"/>
          </w:rPr>
          <w:t>ст. 39</w:t>
        </w:r>
      </w:hyperlink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Федерального закона от 30.03.1999 № 52-ФЗ «О санитарно-эпидемиологическом благополучии населения» установлено, что на территории РФ действуют федеральные санитарные правила (</w:t>
      </w:r>
      <w:hyperlink r:id="rId20" w:anchor="/document/99/499056594/" w:history="1">
        <w:r w:rsidRPr="00B83E9C">
          <w:rPr>
            <w:rFonts w:ascii="Arial" w:eastAsia="Times New Roman" w:hAnsi="Arial" w:cs="Arial"/>
            <w:color w:val="147900"/>
            <w:sz w:val="23"/>
            <w:szCs w:val="23"/>
            <w:u w:val="single"/>
            <w:lang w:eastAsia="ru-RU"/>
          </w:rPr>
          <w:t>СП 3.1.2.3114-13</w:t>
        </w:r>
      </w:hyperlink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соблюдать которые обязаны граждане, индивидуальные предприниматели и юридические лица.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Судьи исходили из того, что отказ от </w:t>
      </w:r>
      <w:proofErr w:type="spellStart"/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туберкулинодиагностики</w:t>
      </w:r>
      <w:proofErr w:type="spellEnd"/>
      <w:r w:rsidRPr="00B83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это нарушение санитарного законодательства со стороны граждан. А допуск детей, не имеющих положительного заключения фтизиатра, ставит под угрозу здоровье воспитанников и сотрудников дошкольной организации (см. апелляционное определение Красноярского краевого суда от 29.06.2015 по делу № 33-6842/2015 А-57).</w:t>
      </w:r>
    </w:p>
    <w:p w:rsidR="00B83E9C" w:rsidRPr="00B83E9C" w:rsidRDefault="00B83E9C" w:rsidP="00B83E9C">
      <w:pPr>
        <w:spacing w:after="42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Несмотря на положительную тенденцию необходимо отметить, что судебные решения в пользу детских садов или медицинских организаций являются, скорее, исключениями, чем правилами. Суды, особенно первой инстанции, с опаской относятся к любому ограничению прав родителей на образование своих детей. А в случае, если в деле на стороне родителей участвует прокурор, вероятность разрешения спора не в пользу ДОО очень высока (см. решение Бутырского районного суда г. Москвы от 03.06.2015 по делу № 2-2459/15). Однако с учетом позиции Верховного Суда РФ образовательным организациям стало легче защищать свои права.</w:t>
      </w:r>
    </w:p>
    <w:p w:rsidR="00B83E9C" w:rsidRPr="00B83E9C" w:rsidRDefault="00B83E9C" w:rsidP="00B8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83E9C" w:rsidRPr="00B83E9C" w:rsidRDefault="00B83E9C" w:rsidP="00B83E9C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E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p w:rsidR="002D6BF4" w:rsidRDefault="002D6BF4"/>
    <w:sectPr w:rsidR="002D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9C"/>
    <w:rsid w:val="002D6BF4"/>
    <w:rsid w:val="00B8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1D2CB-6725-42C7-B4F1-12FDBD9D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7833">
          <w:marLeft w:val="375"/>
          <w:marRight w:val="375"/>
          <w:marTop w:val="0"/>
          <w:marBottom w:val="10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2189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6847">
          <w:marLeft w:val="0"/>
          <w:marRight w:val="40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62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6064">
              <w:marLeft w:val="0"/>
              <w:marRight w:val="0"/>
              <w:marTop w:val="42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92577">
              <w:marLeft w:val="0"/>
              <w:marRight w:val="0"/>
              <w:marTop w:val="42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ip.1obraz.ru/" TargetMode="External"/><Relationship Id="rId20" Type="http://schemas.openxmlformats.org/officeDocument/2006/relationships/hyperlink" Target="http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5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19" Type="http://schemas.openxmlformats.org/officeDocument/2006/relationships/hyperlink" Target="http://vip.1obraz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2016-05-30T12:18:00Z</dcterms:created>
  <dcterms:modified xsi:type="dcterms:W3CDTF">2016-05-30T12:18:00Z</dcterms:modified>
</cp:coreProperties>
</file>